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附件一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国内中高风险地区所在地市情况（2021年8月20日至8月30日）</w:t>
      </w:r>
    </w:p>
    <w:bookmarkEnd w:id="0"/>
    <w:p>
      <w:pPr>
        <w:widowControl/>
        <w:jc w:val="center"/>
      </w:pPr>
      <w:r>
        <w:drawing>
          <wp:inline distT="0" distB="0" distL="114300" distR="114300">
            <wp:extent cx="5267325" cy="7807960"/>
            <wp:effectExtent l="0" t="0" r="5715" b="1016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F7D31"/>
    <w:rsid w:val="647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2021-08-30T15:41:00Z</dcterms:created>
  <dc:creator>王王木木</dc:creator>
  <cp:lastModifiedBy>王王木木</cp:lastModifiedBy>
  <dcterms:modified xsi:type="dcterms:W3CDTF">2021-08-30T15:42:24Z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852772E7215D43C984F94036872545A9</vt:lpwstr>
  </property>
</Properties>
</file>